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AD8" w:rsidRDefault="007124FA">
      <w:r>
        <w:rPr>
          <w:noProof/>
        </w:rPr>
        <w:drawing>
          <wp:inline distT="0" distB="0" distL="0" distR="0" wp14:anchorId="7D8EC3B0" wp14:editId="68F6283A">
            <wp:extent cx="2476500" cy="523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2476500" cy="523875"/>
                    </a:xfrm>
                    <a:prstGeom prst="rect">
                      <a:avLst/>
                    </a:prstGeom>
                  </pic:spPr>
                </pic:pic>
              </a:graphicData>
            </a:graphic>
          </wp:inline>
        </w:drawing>
      </w:r>
    </w:p>
    <w:p w:rsidR="00391ED6" w:rsidRDefault="00391ED6"/>
    <w:p w:rsidR="00391ED6" w:rsidRDefault="00391ED6" w:rsidP="00391ED6">
      <w:pPr>
        <w:rPr>
          <w:rFonts w:ascii="Georgia" w:hAnsi="Georgia"/>
          <w:b/>
          <w:bCs/>
          <w:sz w:val="28"/>
          <w:szCs w:val="28"/>
          <w:lang w:val="fo-FO"/>
        </w:rPr>
      </w:pPr>
      <w:r>
        <w:rPr>
          <w:rFonts w:ascii="Georgia" w:hAnsi="Georgia"/>
          <w:b/>
          <w:bCs/>
          <w:sz w:val="28"/>
          <w:szCs w:val="28"/>
          <w:lang w:val="fo-FO"/>
        </w:rPr>
        <w:t>Vegleiðing í samband við kærur um tvingsil í psykiatriini</w:t>
      </w:r>
    </w:p>
    <w:p w:rsidR="00391ED6" w:rsidRDefault="00391ED6" w:rsidP="00391ED6">
      <w:pPr>
        <w:jc w:val="both"/>
        <w:rPr>
          <w:rFonts w:ascii="Georgia" w:hAnsi="Georgia"/>
          <w:sz w:val="24"/>
          <w:szCs w:val="24"/>
          <w:lang w:val="fo-FO"/>
        </w:rPr>
      </w:pPr>
      <w:r>
        <w:rPr>
          <w:rFonts w:ascii="Georgia" w:hAnsi="Georgia"/>
          <w:sz w:val="24"/>
          <w:szCs w:val="24"/>
          <w:lang w:val="fo-FO"/>
        </w:rPr>
        <w:t>Um so er, at tú ætlar tær at kæra um nýtsluna av tvingsli ímeðan tú ert innlagdur á psykiatrisku deild, skalt tú kæra til Psykiatrisku Sjúklingakærunevndina, sum hevur skrivstovu á Føroya Kærustovni. Endamálið við kæruni er at steðga tvingsilin.</w:t>
      </w:r>
    </w:p>
    <w:p w:rsidR="00391ED6" w:rsidRDefault="00391ED6" w:rsidP="00391ED6">
      <w:pPr>
        <w:jc w:val="both"/>
        <w:rPr>
          <w:rFonts w:ascii="Georgia" w:hAnsi="Georgia"/>
          <w:b/>
          <w:bCs/>
          <w:sz w:val="24"/>
          <w:szCs w:val="24"/>
          <w:lang w:val="fo-FO"/>
        </w:rPr>
      </w:pPr>
      <w:r>
        <w:rPr>
          <w:rFonts w:ascii="Georgia" w:hAnsi="Georgia"/>
          <w:b/>
          <w:bCs/>
          <w:sz w:val="24"/>
          <w:szCs w:val="24"/>
          <w:lang w:val="fo-FO"/>
        </w:rPr>
        <w:t>Hvat kanst tú kæra um?</w:t>
      </w:r>
    </w:p>
    <w:p w:rsidR="00391ED6" w:rsidRDefault="00391ED6" w:rsidP="00391ED6">
      <w:pPr>
        <w:jc w:val="both"/>
        <w:rPr>
          <w:rFonts w:ascii="Georgia" w:hAnsi="Georgia"/>
          <w:sz w:val="24"/>
          <w:szCs w:val="24"/>
          <w:lang w:val="fo-FO"/>
        </w:rPr>
      </w:pPr>
      <w:r>
        <w:rPr>
          <w:rFonts w:ascii="Georgia" w:hAnsi="Georgia"/>
          <w:sz w:val="24"/>
          <w:szCs w:val="24"/>
          <w:lang w:val="fo-FO"/>
        </w:rPr>
        <w:t>Tú kanst t.d. kæra um órímiliga ella óneyðuga:</w:t>
      </w:r>
    </w:p>
    <w:p w:rsidR="00391ED6" w:rsidRDefault="00391ED6" w:rsidP="00391ED6">
      <w:pPr>
        <w:pStyle w:val="Listeafsnit"/>
        <w:numPr>
          <w:ilvl w:val="0"/>
          <w:numId w:val="1"/>
        </w:numPr>
        <w:jc w:val="both"/>
        <w:rPr>
          <w:rFonts w:ascii="Georgia" w:hAnsi="Georgia"/>
          <w:sz w:val="24"/>
          <w:szCs w:val="24"/>
          <w:lang w:val="fo-FO"/>
        </w:rPr>
      </w:pPr>
      <w:r>
        <w:rPr>
          <w:rFonts w:ascii="Georgia" w:hAnsi="Georgia"/>
          <w:sz w:val="24"/>
          <w:szCs w:val="24"/>
          <w:lang w:val="fo-FO"/>
        </w:rPr>
        <w:t>Tvingsilsinnlegging</w:t>
      </w:r>
    </w:p>
    <w:p w:rsidR="00391ED6" w:rsidRDefault="00391ED6" w:rsidP="00391ED6">
      <w:pPr>
        <w:pStyle w:val="Listeafsnit"/>
        <w:numPr>
          <w:ilvl w:val="0"/>
          <w:numId w:val="1"/>
        </w:numPr>
        <w:jc w:val="both"/>
        <w:rPr>
          <w:rFonts w:ascii="Georgia" w:hAnsi="Georgia"/>
          <w:sz w:val="24"/>
          <w:szCs w:val="24"/>
          <w:lang w:val="fo-FO"/>
        </w:rPr>
      </w:pPr>
      <w:r>
        <w:rPr>
          <w:rFonts w:ascii="Georgia" w:hAnsi="Georgia"/>
          <w:sz w:val="24"/>
          <w:szCs w:val="24"/>
          <w:lang w:val="fo-FO"/>
        </w:rPr>
        <w:t>Tvingsilsafturhald</w:t>
      </w:r>
    </w:p>
    <w:p w:rsidR="00391ED6" w:rsidRDefault="00391ED6" w:rsidP="00391ED6">
      <w:pPr>
        <w:pStyle w:val="Listeafsnit"/>
        <w:numPr>
          <w:ilvl w:val="0"/>
          <w:numId w:val="1"/>
        </w:numPr>
        <w:jc w:val="both"/>
        <w:rPr>
          <w:rFonts w:ascii="Georgia" w:hAnsi="Georgia"/>
          <w:sz w:val="24"/>
          <w:szCs w:val="24"/>
          <w:lang w:val="fo-FO"/>
        </w:rPr>
      </w:pPr>
      <w:r>
        <w:rPr>
          <w:rFonts w:ascii="Georgia" w:hAnsi="Georgia"/>
          <w:sz w:val="24"/>
          <w:szCs w:val="24"/>
          <w:lang w:val="fo-FO"/>
        </w:rPr>
        <w:t>Tvingsilsviðgerð</w:t>
      </w:r>
    </w:p>
    <w:p w:rsidR="00391ED6" w:rsidRDefault="00391ED6" w:rsidP="00391ED6">
      <w:pPr>
        <w:pStyle w:val="Listeafsnit"/>
        <w:numPr>
          <w:ilvl w:val="0"/>
          <w:numId w:val="1"/>
        </w:numPr>
        <w:jc w:val="both"/>
        <w:rPr>
          <w:rFonts w:ascii="Georgia" w:hAnsi="Georgia"/>
          <w:sz w:val="24"/>
          <w:szCs w:val="24"/>
          <w:lang w:val="fo-FO"/>
        </w:rPr>
      </w:pPr>
      <w:r>
        <w:rPr>
          <w:rFonts w:ascii="Georgia" w:hAnsi="Georgia"/>
          <w:sz w:val="24"/>
          <w:szCs w:val="24"/>
          <w:lang w:val="fo-FO"/>
        </w:rPr>
        <w:t>Tvingsilsfastspenning</w:t>
      </w:r>
    </w:p>
    <w:p w:rsidR="00391ED6" w:rsidRDefault="00391ED6" w:rsidP="00391ED6">
      <w:pPr>
        <w:pStyle w:val="Listeafsnit"/>
        <w:numPr>
          <w:ilvl w:val="0"/>
          <w:numId w:val="1"/>
        </w:numPr>
        <w:jc w:val="both"/>
        <w:rPr>
          <w:rFonts w:ascii="Georgia" w:hAnsi="Georgia"/>
          <w:sz w:val="24"/>
          <w:szCs w:val="24"/>
          <w:lang w:val="fo-FO"/>
        </w:rPr>
      </w:pPr>
      <w:r>
        <w:rPr>
          <w:rFonts w:ascii="Georgia" w:hAnsi="Georgia"/>
          <w:sz w:val="24"/>
          <w:szCs w:val="24"/>
          <w:lang w:val="fo-FO"/>
        </w:rPr>
        <w:t>Brúk av kropsligari megi</w:t>
      </w:r>
    </w:p>
    <w:p w:rsidR="00391ED6" w:rsidRDefault="00391ED6" w:rsidP="00391ED6">
      <w:pPr>
        <w:pStyle w:val="Listeafsnit"/>
        <w:jc w:val="both"/>
        <w:rPr>
          <w:rFonts w:ascii="Georgia" w:hAnsi="Georgia"/>
          <w:sz w:val="24"/>
          <w:szCs w:val="24"/>
          <w:lang w:val="fo-FO"/>
        </w:rPr>
      </w:pPr>
      <w:r>
        <w:rPr>
          <w:rFonts w:ascii="Georgia" w:hAnsi="Georgia"/>
          <w:sz w:val="24"/>
          <w:szCs w:val="24"/>
          <w:lang w:val="fo-FO"/>
        </w:rPr>
        <w:t>(t.e. at starvsfólk halda sjúklinginum fastan)</w:t>
      </w:r>
    </w:p>
    <w:p w:rsidR="00391ED6" w:rsidRDefault="00391ED6" w:rsidP="00391ED6">
      <w:pPr>
        <w:jc w:val="both"/>
        <w:rPr>
          <w:rFonts w:ascii="Georgia" w:hAnsi="Georgia"/>
          <w:b/>
          <w:bCs/>
          <w:sz w:val="24"/>
          <w:szCs w:val="24"/>
          <w:lang w:val="fo-FO"/>
        </w:rPr>
      </w:pPr>
      <w:r w:rsidRPr="001900A2">
        <w:rPr>
          <w:rFonts w:ascii="Georgia" w:hAnsi="Georgia"/>
          <w:b/>
          <w:bCs/>
          <w:sz w:val="24"/>
          <w:szCs w:val="24"/>
          <w:lang w:val="fo-FO"/>
        </w:rPr>
        <w:t>Er tíða</w:t>
      </w:r>
      <w:r>
        <w:rPr>
          <w:rFonts w:ascii="Georgia" w:hAnsi="Georgia"/>
          <w:b/>
          <w:bCs/>
          <w:sz w:val="24"/>
          <w:szCs w:val="24"/>
          <w:lang w:val="fo-FO"/>
        </w:rPr>
        <w:t>r</w:t>
      </w:r>
      <w:r w:rsidRPr="001900A2">
        <w:rPr>
          <w:rFonts w:ascii="Georgia" w:hAnsi="Georgia"/>
          <w:b/>
          <w:bCs/>
          <w:sz w:val="24"/>
          <w:szCs w:val="24"/>
          <w:lang w:val="fo-FO"/>
        </w:rPr>
        <w:t>freist fyri at kunna kæra</w:t>
      </w:r>
      <w:r>
        <w:rPr>
          <w:rFonts w:ascii="Georgia" w:hAnsi="Georgia"/>
          <w:b/>
          <w:bCs/>
          <w:sz w:val="24"/>
          <w:szCs w:val="24"/>
          <w:lang w:val="fo-FO"/>
        </w:rPr>
        <w:t>?</w:t>
      </w:r>
    </w:p>
    <w:p w:rsidR="00391ED6" w:rsidRDefault="00391ED6" w:rsidP="00391ED6">
      <w:pPr>
        <w:jc w:val="both"/>
        <w:rPr>
          <w:rFonts w:ascii="Georgia" w:hAnsi="Georgia"/>
          <w:sz w:val="24"/>
          <w:szCs w:val="24"/>
          <w:lang w:val="fo-FO"/>
        </w:rPr>
      </w:pPr>
      <w:r>
        <w:rPr>
          <w:rFonts w:ascii="Georgia" w:hAnsi="Georgia"/>
          <w:sz w:val="24"/>
          <w:szCs w:val="24"/>
          <w:lang w:val="fo-FO"/>
        </w:rPr>
        <w:t>Tað er ongin formlig freist at kæra um brúk av tvingsli á Psykiatriska deplinum. Men tá endamálið við kæruni er at fáa tvingsilin at steðga, er tað eitt gott hugskot at kæra so skjótt sum gjørligt.</w:t>
      </w:r>
    </w:p>
    <w:p w:rsidR="00391ED6" w:rsidRDefault="00391ED6" w:rsidP="00391ED6">
      <w:pPr>
        <w:jc w:val="both"/>
        <w:rPr>
          <w:rFonts w:ascii="Georgia" w:hAnsi="Georgia"/>
          <w:b/>
          <w:bCs/>
          <w:sz w:val="24"/>
          <w:szCs w:val="24"/>
          <w:lang w:val="fo-FO"/>
        </w:rPr>
      </w:pPr>
      <w:r>
        <w:rPr>
          <w:rFonts w:ascii="Georgia" w:hAnsi="Georgia"/>
          <w:b/>
          <w:bCs/>
          <w:sz w:val="24"/>
          <w:szCs w:val="24"/>
          <w:lang w:val="fo-FO"/>
        </w:rPr>
        <w:t>Hvør kann kæra?</w:t>
      </w:r>
    </w:p>
    <w:p w:rsidR="00391ED6" w:rsidRDefault="00391ED6" w:rsidP="00391ED6">
      <w:pPr>
        <w:jc w:val="both"/>
        <w:rPr>
          <w:rFonts w:ascii="Georgia" w:hAnsi="Georgia"/>
          <w:sz w:val="24"/>
          <w:szCs w:val="24"/>
          <w:lang w:val="fo-FO"/>
        </w:rPr>
      </w:pPr>
      <w:r>
        <w:rPr>
          <w:rFonts w:ascii="Georgia" w:hAnsi="Georgia"/>
          <w:sz w:val="24"/>
          <w:szCs w:val="24"/>
          <w:lang w:val="fo-FO"/>
        </w:rPr>
        <w:t>Ert tú tvingsilsinnlagdur, tvingsilsafturhildin ella verður tvingsilsviðgjørdur á eini psykiatriskari deild, tilnevnir sjúkrahúsið tær ein sjúklingaráðgeva. Um so er, at tú verður tvingsilsfastspentur ella ert út fyri aðrari kropsligari megi, eigur sjúkrahúsið at spyrja teg um tú vilt hava ein sjúklingaráðgeva.</w:t>
      </w:r>
    </w:p>
    <w:p w:rsidR="00391ED6" w:rsidRDefault="00391ED6" w:rsidP="00391ED6">
      <w:pPr>
        <w:jc w:val="both"/>
        <w:rPr>
          <w:rFonts w:ascii="Georgia" w:hAnsi="Georgia"/>
          <w:sz w:val="24"/>
          <w:szCs w:val="24"/>
          <w:lang w:val="fo-FO"/>
        </w:rPr>
      </w:pPr>
      <w:r>
        <w:rPr>
          <w:rFonts w:ascii="Georgia" w:hAnsi="Georgia"/>
          <w:sz w:val="24"/>
          <w:szCs w:val="24"/>
          <w:lang w:val="fo-FO"/>
        </w:rPr>
        <w:t xml:space="preserve">Sjúklingaráðgevin skal leiðbeina og geva tær ráð viðvíkjandi øll viðurskifti í sambandi við innlegging, uppihald og viðgerð á psykiatrisku deildini. Sjúklingaráðgevin hjálpir tær </w:t>
      </w:r>
      <w:r w:rsidR="00741BA5">
        <w:rPr>
          <w:rFonts w:ascii="Georgia" w:hAnsi="Georgia"/>
          <w:sz w:val="24"/>
          <w:szCs w:val="24"/>
          <w:lang w:val="fo-FO"/>
        </w:rPr>
        <w:t xml:space="preserve">eisini </w:t>
      </w:r>
      <w:r>
        <w:rPr>
          <w:rFonts w:ascii="Georgia" w:hAnsi="Georgia"/>
          <w:sz w:val="24"/>
          <w:szCs w:val="24"/>
          <w:lang w:val="fo-FO"/>
        </w:rPr>
        <w:t>við eini møguligari kæru. Tí kunna bæði tú og/ella sjúklingaráðgevin tína vegna kæra og krevja, at Psykiatriska Sjúklingakærunevndin viðger tína kæru.</w:t>
      </w:r>
    </w:p>
    <w:p w:rsidR="00391ED6" w:rsidRDefault="00391ED6" w:rsidP="00391ED6">
      <w:pPr>
        <w:jc w:val="both"/>
        <w:rPr>
          <w:rFonts w:ascii="Georgia" w:hAnsi="Georgia"/>
          <w:b/>
          <w:bCs/>
          <w:sz w:val="24"/>
          <w:szCs w:val="24"/>
          <w:lang w:val="fo-FO"/>
        </w:rPr>
      </w:pPr>
      <w:r>
        <w:rPr>
          <w:rFonts w:ascii="Georgia" w:hAnsi="Georgia"/>
          <w:b/>
          <w:bCs/>
          <w:sz w:val="24"/>
          <w:szCs w:val="24"/>
          <w:lang w:val="fo-FO"/>
        </w:rPr>
        <w:t>Hvussu skal ein kæra skrivast?</w:t>
      </w:r>
    </w:p>
    <w:p w:rsidR="00391ED6" w:rsidRDefault="00391ED6" w:rsidP="00391ED6">
      <w:pPr>
        <w:jc w:val="both"/>
        <w:rPr>
          <w:rFonts w:ascii="Georgia" w:hAnsi="Georgia"/>
          <w:sz w:val="24"/>
          <w:szCs w:val="24"/>
          <w:lang w:val="fo-FO"/>
        </w:rPr>
      </w:pPr>
      <w:r w:rsidRPr="00BB391E">
        <w:rPr>
          <w:rFonts w:ascii="Georgia" w:hAnsi="Georgia"/>
          <w:sz w:val="24"/>
          <w:szCs w:val="24"/>
          <w:lang w:val="fo-FO"/>
        </w:rPr>
        <w:t xml:space="preserve">Tað eru ikki serlig krøv um, hvussu tú skalt kæra. Tú </w:t>
      </w:r>
      <w:r>
        <w:rPr>
          <w:rFonts w:ascii="Georgia" w:hAnsi="Georgia"/>
          <w:sz w:val="24"/>
          <w:szCs w:val="24"/>
          <w:lang w:val="fo-FO"/>
        </w:rPr>
        <w:t>og/</w:t>
      </w:r>
      <w:r w:rsidRPr="00BB391E">
        <w:rPr>
          <w:rFonts w:ascii="Georgia" w:hAnsi="Georgia"/>
          <w:sz w:val="24"/>
          <w:szCs w:val="24"/>
          <w:lang w:val="fo-FO"/>
        </w:rPr>
        <w:t>ella sjúkli</w:t>
      </w:r>
      <w:r>
        <w:rPr>
          <w:rFonts w:ascii="Georgia" w:hAnsi="Georgia"/>
          <w:sz w:val="24"/>
          <w:szCs w:val="24"/>
          <w:lang w:val="fo-FO"/>
        </w:rPr>
        <w:t>n</w:t>
      </w:r>
      <w:r w:rsidRPr="00BB391E">
        <w:rPr>
          <w:rFonts w:ascii="Georgia" w:hAnsi="Georgia"/>
          <w:sz w:val="24"/>
          <w:szCs w:val="24"/>
          <w:lang w:val="fo-FO"/>
        </w:rPr>
        <w:t>garáðgev</w:t>
      </w:r>
      <w:r>
        <w:rPr>
          <w:rFonts w:ascii="Georgia" w:hAnsi="Georgia"/>
          <w:sz w:val="24"/>
          <w:szCs w:val="24"/>
          <w:lang w:val="fo-FO"/>
        </w:rPr>
        <w:t>i</w:t>
      </w:r>
      <w:r w:rsidRPr="00BB391E">
        <w:rPr>
          <w:rFonts w:ascii="Georgia" w:hAnsi="Georgia"/>
          <w:sz w:val="24"/>
          <w:szCs w:val="24"/>
          <w:lang w:val="fo-FO"/>
        </w:rPr>
        <w:t>n</w:t>
      </w:r>
      <w:r>
        <w:rPr>
          <w:rFonts w:ascii="Georgia" w:hAnsi="Georgia"/>
          <w:sz w:val="24"/>
          <w:szCs w:val="24"/>
          <w:lang w:val="fo-FO"/>
        </w:rPr>
        <w:t xml:space="preserve"> kunna skriva nøkur orð um, hví tú ynskir at kæra. Eisini ber til at fylla eitt oyðublað út, har man krossar av</w:t>
      </w:r>
      <w:r w:rsidR="00741BA5">
        <w:rPr>
          <w:rFonts w:ascii="Georgia" w:hAnsi="Georgia"/>
          <w:sz w:val="24"/>
          <w:szCs w:val="24"/>
          <w:lang w:val="fo-FO"/>
        </w:rPr>
        <w:t>,</w:t>
      </w:r>
      <w:r>
        <w:rPr>
          <w:rFonts w:ascii="Georgia" w:hAnsi="Georgia"/>
          <w:sz w:val="24"/>
          <w:szCs w:val="24"/>
          <w:lang w:val="fo-FO"/>
        </w:rPr>
        <w:t xml:space="preserve"> hvat kært verður um.</w:t>
      </w:r>
      <w:r w:rsidR="00741BA5">
        <w:rPr>
          <w:rFonts w:ascii="Georgia" w:hAnsi="Georgia"/>
          <w:sz w:val="24"/>
          <w:szCs w:val="24"/>
          <w:lang w:val="fo-FO"/>
        </w:rPr>
        <w:t xml:space="preserve"> Oyðiblaðið er at finna á heimsíðuni hjá Føroya Kærustovni.</w:t>
      </w:r>
    </w:p>
    <w:p w:rsidR="00391ED6" w:rsidRDefault="00391ED6" w:rsidP="00391ED6">
      <w:pPr>
        <w:jc w:val="both"/>
        <w:rPr>
          <w:rFonts w:ascii="Georgia" w:hAnsi="Georgia"/>
          <w:sz w:val="24"/>
          <w:szCs w:val="24"/>
          <w:lang w:val="fo-FO"/>
        </w:rPr>
      </w:pPr>
      <w:r>
        <w:rPr>
          <w:rFonts w:ascii="Georgia" w:hAnsi="Georgia"/>
          <w:sz w:val="24"/>
          <w:szCs w:val="24"/>
          <w:lang w:val="fo-FO"/>
        </w:rPr>
        <w:t>Kæran verður so latin til starvsfólkini á deildini ella sjúklingaráðgevan, sum so sendir kæruna víðari til kærunevndina.</w:t>
      </w:r>
    </w:p>
    <w:p w:rsidR="00391ED6" w:rsidRDefault="00391ED6" w:rsidP="00391ED6">
      <w:pPr>
        <w:jc w:val="both"/>
        <w:rPr>
          <w:rFonts w:ascii="Georgia" w:hAnsi="Georgia"/>
          <w:b/>
          <w:bCs/>
          <w:sz w:val="24"/>
          <w:szCs w:val="24"/>
          <w:lang w:val="fo-FO"/>
        </w:rPr>
      </w:pPr>
      <w:r>
        <w:rPr>
          <w:rFonts w:ascii="Georgia" w:hAnsi="Georgia"/>
          <w:b/>
          <w:bCs/>
          <w:sz w:val="24"/>
          <w:szCs w:val="24"/>
          <w:lang w:val="fo-FO"/>
        </w:rPr>
        <w:t>Hvørji úrslit kunna koma av at kæra?</w:t>
      </w:r>
    </w:p>
    <w:p w:rsidR="00391ED6" w:rsidRDefault="00391ED6" w:rsidP="00391ED6">
      <w:pPr>
        <w:jc w:val="both"/>
        <w:rPr>
          <w:rFonts w:ascii="Georgia" w:hAnsi="Georgia"/>
          <w:sz w:val="24"/>
          <w:szCs w:val="24"/>
          <w:lang w:val="fo-FO"/>
        </w:rPr>
      </w:pPr>
      <w:r>
        <w:rPr>
          <w:rFonts w:ascii="Georgia" w:hAnsi="Georgia"/>
          <w:sz w:val="24"/>
          <w:szCs w:val="24"/>
          <w:lang w:val="fo-FO"/>
        </w:rPr>
        <w:lastRenderedPageBreak/>
        <w:t>Tú kanst antin fáa viðhald ella ikki viðhald. Fært tú viðhald, skal tvingsilin steðgast beinanvegin.</w:t>
      </w:r>
    </w:p>
    <w:p w:rsidR="00391ED6" w:rsidRDefault="00391ED6" w:rsidP="00391ED6">
      <w:pPr>
        <w:jc w:val="both"/>
        <w:rPr>
          <w:rFonts w:ascii="Georgia" w:hAnsi="Georgia"/>
          <w:b/>
          <w:bCs/>
          <w:sz w:val="24"/>
          <w:szCs w:val="24"/>
          <w:lang w:val="fo-FO"/>
        </w:rPr>
      </w:pPr>
      <w:r>
        <w:rPr>
          <w:rFonts w:ascii="Georgia" w:hAnsi="Georgia"/>
          <w:b/>
          <w:bCs/>
          <w:sz w:val="24"/>
          <w:szCs w:val="24"/>
          <w:lang w:val="fo-FO"/>
        </w:rPr>
        <w:t>Hvussu langa tíð tekur kæruviðgerðin?</w:t>
      </w:r>
    </w:p>
    <w:p w:rsidR="00391ED6" w:rsidRDefault="00391ED6" w:rsidP="00391ED6">
      <w:pPr>
        <w:jc w:val="both"/>
        <w:rPr>
          <w:rFonts w:ascii="Georgia" w:hAnsi="Georgia"/>
          <w:sz w:val="24"/>
          <w:szCs w:val="24"/>
          <w:lang w:val="fo-FO"/>
        </w:rPr>
      </w:pPr>
      <w:r>
        <w:rPr>
          <w:rFonts w:ascii="Georgia" w:hAnsi="Georgia"/>
          <w:sz w:val="24"/>
          <w:szCs w:val="24"/>
          <w:lang w:val="fo-FO"/>
        </w:rPr>
        <w:t xml:space="preserve">Kærir tú um </w:t>
      </w:r>
      <w:r w:rsidRPr="00E55792">
        <w:rPr>
          <w:rFonts w:ascii="Georgia" w:hAnsi="Georgia"/>
          <w:sz w:val="24"/>
          <w:szCs w:val="24"/>
          <w:lang w:val="fo-FO"/>
        </w:rPr>
        <w:t>tvingsilsviðgerð,</w:t>
      </w:r>
      <w:r>
        <w:rPr>
          <w:rFonts w:ascii="Georgia" w:hAnsi="Georgia"/>
          <w:i/>
          <w:iCs/>
          <w:sz w:val="24"/>
          <w:szCs w:val="24"/>
          <w:lang w:val="fo-FO"/>
        </w:rPr>
        <w:t xml:space="preserve"> </w:t>
      </w:r>
      <w:r>
        <w:rPr>
          <w:rFonts w:ascii="Georgia" w:hAnsi="Georgia"/>
          <w:sz w:val="24"/>
          <w:szCs w:val="24"/>
          <w:lang w:val="fo-FO"/>
        </w:rPr>
        <w:t>skal kærunevndin hava tikið avgerð innan 7 gerandisdagar aftaná kæran er móttikin.</w:t>
      </w:r>
    </w:p>
    <w:p w:rsidR="00391ED6" w:rsidRDefault="00391ED6" w:rsidP="00391ED6">
      <w:pPr>
        <w:jc w:val="both"/>
        <w:rPr>
          <w:rFonts w:ascii="Georgia" w:hAnsi="Georgia"/>
          <w:sz w:val="24"/>
          <w:szCs w:val="24"/>
          <w:lang w:val="fo-FO"/>
        </w:rPr>
      </w:pPr>
      <w:r>
        <w:rPr>
          <w:rFonts w:ascii="Georgia" w:hAnsi="Georgia"/>
          <w:sz w:val="24"/>
          <w:szCs w:val="24"/>
          <w:lang w:val="fo-FO"/>
        </w:rPr>
        <w:t>Í øðrum málum skalt tú hava eina grundgeving, um so er, at kærunevndin ikki hevur tikið eina avgerð 14 dagar aftaná, at kæran er móttikin.</w:t>
      </w:r>
    </w:p>
    <w:p w:rsidR="00391ED6" w:rsidRPr="00201A59" w:rsidRDefault="00391ED6" w:rsidP="00391ED6">
      <w:pPr>
        <w:jc w:val="both"/>
        <w:rPr>
          <w:rFonts w:ascii="Georgia" w:hAnsi="Georgia"/>
          <w:b/>
          <w:bCs/>
          <w:sz w:val="24"/>
          <w:szCs w:val="24"/>
          <w:lang w:val="fo-FO"/>
        </w:rPr>
      </w:pPr>
      <w:r w:rsidRPr="00201A59">
        <w:rPr>
          <w:rFonts w:ascii="Georgia" w:hAnsi="Georgia"/>
          <w:b/>
          <w:bCs/>
          <w:sz w:val="24"/>
          <w:szCs w:val="24"/>
          <w:lang w:val="fo-FO"/>
        </w:rPr>
        <w:t xml:space="preserve">Hví skal eg fara á fund við kærunevndina?  </w:t>
      </w:r>
    </w:p>
    <w:p w:rsidR="00741BA5" w:rsidRDefault="00741BA5" w:rsidP="00741BA5">
      <w:pPr>
        <w:jc w:val="both"/>
        <w:rPr>
          <w:rFonts w:ascii="Georgia" w:hAnsi="Georgia"/>
          <w:sz w:val="24"/>
          <w:szCs w:val="24"/>
          <w:lang w:val="fo-FO"/>
        </w:rPr>
      </w:pPr>
      <w:r>
        <w:rPr>
          <w:rFonts w:ascii="Georgia" w:hAnsi="Georgia"/>
          <w:sz w:val="24"/>
          <w:szCs w:val="24"/>
          <w:lang w:val="fo-FO"/>
        </w:rPr>
        <w:t>Tá Psykiatriska Sjúklingakærunevndin hevur fund, kunna tú og sjúklingaráðgevin greiða frá málinum.</w:t>
      </w:r>
    </w:p>
    <w:p w:rsidR="00391ED6" w:rsidRDefault="00391ED6" w:rsidP="00391ED6">
      <w:pPr>
        <w:jc w:val="both"/>
        <w:rPr>
          <w:rFonts w:ascii="Georgia" w:hAnsi="Georgia"/>
          <w:sz w:val="24"/>
          <w:szCs w:val="24"/>
          <w:lang w:val="fo-FO"/>
        </w:rPr>
      </w:pPr>
      <w:r>
        <w:rPr>
          <w:rFonts w:ascii="Georgia" w:hAnsi="Georgia"/>
          <w:sz w:val="24"/>
          <w:szCs w:val="24"/>
          <w:lang w:val="fo-FO"/>
        </w:rPr>
        <w:t>Um tú hevur møguleika fyri tí, er tað eitt gott hugskot at vera til staðar, tá ið títt kærumál skal leggjast fyri nevndini, soleiðis at tú hevur møguleika at rætta møguligar villur í frágreiðingini um hvussu hendingarnar fóru fram, í sambandi við at tvingsil varð brúktur móti tær.</w:t>
      </w:r>
    </w:p>
    <w:p w:rsidR="00391ED6" w:rsidRDefault="00391ED6" w:rsidP="00391ED6">
      <w:pPr>
        <w:jc w:val="both"/>
        <w:rPr>
          <w:rFonts w:ascii="Georgia" w:hAnsi="Georgia"/>
          <w:sz w:val="24"/>
          <w:szCs w:val="24"/>
          <w:lang w:val="fo-FO"/>
        </w:rPr>
      </w:pPr>
      <w:r>
        <w:rPr>
          <w:rFonts w:ascii="Georgia" w:hAnsi="Georgia"/>
          <w:sz w:val="24"/>
          <w:szCs w:val="24"/>
          <w:lang w:val="fo-FO"/>
        </w:rPr>
        <w:t xml:space="preserve">Sum psykiatriskur sjúklingur kanst tú hava stóran tørv á hjálp frá sjúklingaráðgevanum, </w:t>
      </w:r>
      <w:bookmarkStart w:id="0" w:name="_GoBack"/>
      <w:bookmarkEnd w:id="0"/>
      <w:r>
        <w:rPr>
          <w:rFonts w:ascii="Georgia" w:hAnsi="Georgia"/>
          <w:sz w:val="24"/>
          <w:szCs w:val="24"/>
          <w:lang w:val="fo-FO"/>
        </w:rPr>
        <w:t>tá ið fundurin er við Psykiatrisku Sjúklingakærunevndina.</w:t>
      </w:r>
    </w:p>
    <w:p w:rsidR="00391ED6" w:rsidRDefault="00391ED6" w:rsidP="00391ED6">
      <w:pPr>
        <w:jc w:val="both"/>
        <w:rPr>
          <w:rFonts w:ascii="Georgia" w:hAnsi="Georgia"/>
          <w:b/>
          <w:bCs/>
          <w:sz w:val="24"/>
          <w:szCs w:val="24"/>
          <w:lang w:val="fo-FO"/>
        </w:rPr>
      </w:pPr>
      <w:r>
        <w:rPr>
          <w:rFonts w:ascii="Georgia" w:hAnsi="Georgia"/>
          <w:b/>
          <w:bCs/>
          <w:sz w:val="24"/>
          <w:szCs w:val="24"/>
          <w:lang w:val="fo-FO"/>
        </w:rPr>
        <w:t>Kanst tú kæra eina avgerð hjá Psykiatrisku Sjúklingakærunevndini?</w:t>
      </w:r>
    </w:p>
    <w:p w:rsidR="00391ED6" w:rsidRDefault="00391ED6" w:rsidP="00391ED6">
      <w:pPr>
        <w:jc w:val="both"/>
        <w:rPr>
          <w:rFonts w:ascii="Georgia" w:hAnsi="Georgia"/>
          <w:sz w:val="24"/>
          <w:szCs w:val="24"/>
          <w:lang w:val="fo-FO"/>
        </w:rPr>
      </w:pPr>
      <w:r>
        <w:rPr>
          <w:rFonts w:ascii="Georgia" w:hAnsi="Georgia"/>
          <w:sz w:val="24"/>
          <w:szCs w:val="24"/>
          <w:lang w:val="fo-FO"/>
        </w:rPr>
        <w:t xml:space="preserve">Ert tú ónøgd/ur við avgerðina hjá Psykiatrisku Sjúklingakærunevndini, kanst tú kæra málið víðari, antin til </w:t>
      </w:r>
      <w:r w:rsidRPr="00EE6F58">
        <w:rPr>
          <w:rFonts w:ascii="Georgia" w:hAnsi="Georgia"/>
          <w:sz w:val="24"/>
          <w:szCs w:val="24"/>
          <w:lang w:val="fo-FO"/>
        </w:rPr>
        <w:t>Det Psykiatriske Ankenævn</w:t>
      </w:r>
      <w:r w:rsidRPr="00EE6F58">
        <w:rPr>
          <w:lang w:val="fo-FO"/>
        </w:rPr>
        <w:t xml:space="preserve"> </w:t>
      </w:r>
      <w:r w:rsidRPr="00EE6F58">
        <w:rPr>
          <w:rFonts w:ascii="Georgia" w:hAnsi="Georgia"/>
          <w:sz w:val="24"/>
          <w:szCs w:val="24"/>
          <w:lang w:val="fo-FO"/>
        </w:rPr>
        <w:t>ella við at leggja má</w:t>
      </w:r>
      <w:r>
        <w:rPr>
          <w:rFonts w:ascii="Georgia" w:hAnsi="Georgia"/>
          <w:sz w:val="24"/>
          <w:szCs w:val="24"/>
          <w:lang w:val="fo-FO"/>
        </w:rPr>
        <w:t>lið fyri rættin.</w:t>
      </w:r>
    </w:p>
    <w:p w:rsidR="00391ED6" w:rsidRDefault="00391ED6" w:rsidP="00391ED6">
      <w:pPr>
        <w:jc w:val="both"/>
        <w:rPr>
          <w:rFonts w:ascii="Georgia" w:hAnsi="Georgia"/>
          <w:sz w:val="24"/>
          <w:szCs w:val="24"/>
          <w:lang w:val="fo-FO"/>
        </w:rPr>
      </w:pPr>
      <w:r>
        <w:rPr>
          <w:rFonts w:ascii="Georgia" w:hAnsi="Georgia"/>
          <w:sz w:val="24"/>
          <w:szCs w:val="24"/>
          <w:lang w:val="fo-FO"/>
        </w:rPr>
        <w:t>-</w:t>
      </w:r>
      <w:r w:rsidRPr="00A960E2">
        <w:rPr>
          <w:rFonts w:ascii="Georgia" w:hAnsi="Georgia"/>
          <w:sz w:val="24"/>
          <w:szCs w:val="24"/>
          <w:lang w:val="fo-FO"/>
        </w:rPr>
        <w:t>Ert tú ónøgd/ur við avgerðina hjá kærunevndini um tvingsilsviðgerð, tvingsilsfastspenning og/ella annað brúk av kropsligari megi, kanst tú ella sjúkli</w:t>
      </w:r>
      <w:r>
        <w:rPr>
          <w:rFonts w:ascii="Georgia" w:hAnsi="Georgia"/>
          <w:sz w:val="24"/>
          <w:szCs w:val="24"/>
          <w:lang w:val="fo-FO"/>
        </w:rPr>
        <w:t>n</w:t>
      </w:r>
      <w:r w:rsidRPr="00A960E2">
        <w:rPr>
          <w:rFonts w:ascii="Georgia" w:hAnsi="Georgia"/>
          <w:sz w:val="24"/>
          <w:szCs w:val="24"/>
          <w:lang w:val="fo-FO"/>
        </w:rPr>
        <w:t>garáðgevin hjá tær kæra til Det Psykiatriske Ankenævn.</w:t>
      </w:r>
    </w:p>
    <w:p w:rsidR="00391ED6" w:rsidRDefault="00391ED6" w:rsidP="00391ED6">
      <w:pPr>
        <w:jc w:val="both"/>
        <w:rPr>
          <w:rFonts w:ascii="Georgia" w:hAnsi="Georgia"/>
          <w:sz w:val="24"/>
          <w:szCs w:val="24"/>
          <w:lang w:val="fo-FO"/>
        </w:rPr>
      </w:pPr>
      <w:r>
        <w:rPr>
          <w:rFonts w:ascii="Georgia" w:hAnsi="Georgia"/>
          <w:sz w:val="24"/>
          <w:szCs w:val="24"/>
          <w:lang w:val="fo-FO"/>
        </w:rPr>
        <w:t>-Ert tú ónøgd/ur við avgerðina hjá kærunevndini um tvingsilsinnlegging, tvingsilsafturhald, og/ella tvingsilsafturføring, kanst tú ella sjúklingaráðgevin hjá tær krevja, at kærunevndin leggur málið fyri Føroya Rætt. Rætturin tilnevnir ein advokat til at føra málið hjá tær, og tað almenna rindar útreiðslurnar.</w:t>
      </w:r>
    </w:p>
    <w:p w:rsidR="00391ED6" w:rsidRDefault="00741BA5" w:rsidP="00391ED6">
      <w:pPr>
        <w:jc w:val="both"/>
        <w:rPr>
          <w:rFonts w:ascii="Georgia" w:hAnsi="Georgia"/>
          <w:sz w:val="24"/>
          <w:szCs w:val="24"/>
          <w:lang w:val="fo-FO"/>
        </w:rPr>
      </w:pPr>
      <w:r>
        <w:rPr>
          <w:rFonts w:ascii="Georgia" w:hAnsi="Georgia"/>
          <w:sz w:val="24"/>
          <w:szCs w:val="24"/>
          <w:lang w:val="fo-FO"/>
        </w:rPr>
        <w:t xml:space="preserve">Tú kanst </w:t>
      </w:r>
      <w:r w:rsidR="00391ED6" w:rsidRPr="00391ED6">
        <w:rPr>
          <w:rFonts w:ascii="Georgia" w:hAnsi="Georgia"/>
          <w:sz w:val="24"/>
          <w:szCs w:val="24"/>
          <w:lang w:val="fo-FO"/>
        </w:rPr>
        <w:t>senda kæruna til Kærustovnin, so syrgja vit fyri, at kæran kemur á rætta stað</w:t>
      </w:r>
      <w:r w:rsidR="00391ED6">
        <w:rPr>
          <w:rFonts w:ascii="Georgia" w:hAnsi="Georgia"/>
          <w:sz w:val="24"/>
          <w:szCs w:val="24"/>
          <w:lang w:val="fo-FO"/>
        </w:rPr>
        <w:t>.</w:t>
      </w:r>
    </w:p>
    <w:p w:rsidR="00391ED6" w:rsidRPr="00391ED6" w:rsidRDefault="00391ED6" w:rsidP="00391ED6">
      <w:pPr>
        <w:pStyle w:val="Ingenafstand"/>
        <w:rPr>
          <w:rFonts w:ascii="Georgia" w:hAnsi="Georgia"/>
          <w:sz w:val="24"/>
          <w:szCs w:val="24"/>
          <w:lang w:val="fo-FO"/>
        </w:rPr>
      </w:pPr>
      <w:r w:rsidRPr="00391ED6">
        <w:rPr>
          <w:rFonts w:ascii="Georgia" w:hAnsi="Georgia"/>
          <w:sz w:val="24"/>
          <w:szCs w:val="24"/>
          <w:lang w:val="fo-FO"/>
        </w:rPr>
        <w:t>Føroya Kærustovnur</w:t>
      </w:r>
    </w:p>
    <w:p w:rsidR="00391ED6" w:rsidRPr="00391ED6" w:rsidRDefault="00391ED6" w:rsidP="00391ED6">
      <w:pPr>
        <w:pStyle w:val="Ingenafstand"/>
        <w:rPr>
          <w:rFonts w:ascii="Georgia" w:hAnsi="Georgia"/>
          <w:sz w:val="24"/>
          <w:szCs w:val="24"/>
          <w:lang w:val="fo-FO"/>
        </w:rPr>
      </w:pPr>
      <w:r w:rsidRPr="00391ED6">
        <w:rPr>
          <w:rFonts w:ascii="Georgia" w:hAnsi="Georgia"/>
          <w:sz w:val="24"/>
          <w:szCs w:val="24"/>
          <w:lang w:val="fo-FO"/>
        </w:rPr>
        <w:t>Undir Hornabakka</w:t>
      </w:r>
    </w:p>
    <w:p w:rsidR="00391ED6" w:rsidRPr="00391ED6" w:rsidRDefault="00391ED6" w:rsidP="00391ED6">
      <w:pPr>
        <w:pStyle w:val="Ingenafstand"/>
        <w:rPr>
          <w:rFonts w:ascii="Georgia" w:hAnsi="Georgia"/>
          <w:sz w:val="24"/>
          <w:szCs w:val="24"/>
          <w:lang w:val="fo-FO"/>
        </w:rPr>
      </w:pPr>
      <w:r w:rsidRPr="00391ED6">
        <w:rPr>
          <w:rFonts w:ascii="Georgia" w:hAnsi="Georgia"/>
          <w:sz w:val="24"/>
          <w:szCs w:val="24"/>
          <w:lang w:val="fo-FO"/>
        </w:rPr>
        <w:t>Postsmoga 45</w:t>
      </w:r>
    </w:p>
    <w:p w:rsidR="00391ED6" w:rsidRDefault="00391ED6" w:rsidP="00391ED6">
      <w:pPr>
        <w:pStyle w:val="Ingenafstand"/>
        <w:rPr>
          <w:rFonts w:ascii="Georgia" w:hAnsi="Georgia"/>
          <w:sz w:val="24"/>
          <w:szCs w:val="24"/>
          <w:lang w:val="fo-FO"/>
        </w:rPr>
      </w:pPr>
      <w:r w:rsidRPr="00391ED6">
        <w:rPr>
          <w:rFonts w:ascii="Georgia" w:hAnsi="Georgia"/>
          <w:sz w:val="24"/>
          <w:szCs w:val="24"/>
          <w:lang w:val="fo-FO"/>
        </w:rPr>
        <w:t>110 Tórshavn</w:t>
      </w:r>
    </w:p>
    <w:p w:rsidR="00391ED6" w:rsidRDefault="00391ED6" w:rsidP="00391ED6">
      <w:pPr>
        <w:pStyle w:val="Ingenafstand"/>
        <w:rPr>
          <w:rFonts w:ascii="Georgia" w:hAnsi="Georgia"/>
          <w:sz w:val="24"/>
          <w:szCs w:val="24"/>
          <w:lang w:val="fo-FO"/>
        </w:rPr>
      </w:pPr>
    </w:p>
    <w:p w:rsidR="00391ED6" w:rsidRPr="00391ED6" w:rsidRDefault="00391ED6" w:rsidP="00391ED6">
      <w:pPr>
        <w:pStyle w:val="Ingenafstand"/>
        <w:rPr>
          <w:rFonts w:ascii="Georgia" w:hAnsi="Georgia"/>
          <w:sz w:val="24"/>
          <w:szCs w:val="24"/>
          <w:lang w:val="fo-FO"/>
        </w:rPr>
      </w:pPr>
      <w:r>
        <w:rPr>
          <w:rFonts w:ascii="Georgia" w:hAnsi="Georgia"/>
          <w:sz w:val="24"/>
          <w:szCs w:val="24"/>
          <w:lang w:val="fo-FO"/>
        </w:rPr>
        <w:t xml:space="preserve">ella við telduposti á </w:t>
      </w:r>
      <w:hyperlink r:id="rId7" w:history="1">
        <w:r w:rsidRPr="0079163B">
          <w:rPr>
            <w:rStyle w:val="Hyperlink"/>
            <w:rFonts w:ascii="Georgia" w:hAnsi="Georgia"/>
            <w:sz w:val="24"/>
            <w:szCs w:val="24"/>
            <w:lang w:val="fo-FO"/>
          </w:rPr>
          <w:t>fks@fks.fo</w:t>
        </w:r>
      </w:hyperlink>
      <w:r>
        <w:rPr>
          <w:rFonts w:ascii="Georgia" w:hAnsi="Georgia"/>
          <w:sz w:val="24"/>
          <w:szCs w:val="24"/>
          <w:lang w:val="fo-FO"/>
        </w:rPr>
        <w:t xml:space="preserve"> </w:t>
      </w:r>
    </w:p>
    <w:p w:rsidR="00391ED6" w:rsidRDefault="00391ED6" w:rsidP="00391ED6">
      <w:pPr>
        <w:jc w:val="both"/>
        <w:rPr>
          <w:rFonts w:ascii="Georgia" w:hAnsi="Georgia"/>
          <w:b/>
          <w:bCs/>
          <w:sz w:val="24"/>
          <w:szCs w:val="24"/>
          <w:lang w:val="fo-FO"/>
        </w:rPr>
      </w:pPr>
    </w:p>
    <w:p w:rsidR="00391ED6" w:rsidRPr="00391ED6" w:rsidRDefault="00391ED6" w:rsidP="00391ED6">
      <w:pPr>
        <w:jc w:val="both"/>
        <w:rPr>
          <w:rFonts w:ascii="Georgia" w:hAnsi="Georgia"/>
          <w:b/>
          <w:bCs/>
          <w:sz w:val="24"/>
          <w:szCs w:val="24"/>
          <w:lang w:val="fo-FO"/>
        </w:rPr>
      </w:pPr>
      <w:r w:rsidRPr="00391ED6">
        <w:rPr>
          <w:rFonts w:ascii="Georgia" w:hAnsi="Georgia"/>
          <w:b/>
          <w:bCs/>
          <w:sz w:val="24"/>
          <w:szCs w:val="24"/>
          <w:lang w:val="fo-FO"/>
        </w:rPr>
        <w:t>Lógargrundarlagið</w:t>
      </w:r>
      <w:r>
        <w:rPr>
          <w:rFonts w:ascii="Georgia" w:hAnsi="Georgia"/>
          <w:b/>
          <w:bCs/>
          <w:sz w:val="24"/>
          <w:szCs w:val="24"/>
          <w:lang w:val="fo-FO"/>
        </w:rPr>
        <w:t>?</w:t>
      </w:r>
    </w:p>
    <w:p w:rsidR="00391ED6" w:rsidRDefault="00391ED6" w:rsidP="00391ED6">
      <w:pPr>
        <w:jc w:val="both"/>
        <w:rPr>
          <w:rFonts w:ascii="Georgia" w:hAnsi="Georgia"/>
          <w:sz w:val="24"/>
          <w:szCs w:val="24"/>
          <w:lang w:val="fo-FO"/>
        </w:rPr>
      </w:pPr>
      <w:r>
        <w:rPr>
          <w:rFonts w:ascii="Georgia" w:hAnsi="Georgia"/>
          <w:sz w:val="24"/>
          <w:szCs w:val="24"/>
          <w:lang w:val="fo-FO"/>
        </w:rPr>
        <w:t>Tá kærunevndin skal meta, um nýtslan av tvingsli er órímilig ella óneyðug, er tað við grundarlagi í psykiatrilógini.</w:t>
      </w:r>
    </w:p>
    <w:p w:rsidR="00391ED6" w:rsidRPr="00741BA5" w:rsidRDefault="00741BA5" w:rsidP="00391ED6">
      <w:pPr>
        <w:jc w:val="both"/>
        <w:rPr>
          <w:rFonts w:ascii="Georgia" w:hAnsi="Georgia"/>
          <w:b/>
          <w:bCs/>
          <w:sz w:val="24"/>
          <w:szCs w:val="24"/>
          <w:lang w:val="fo-FO"/>
        </w:rPr>
      </w:pPr>
      <w:r w:rsidRPr="00741BA5">
        <w:rPr>
          <w:rFonts w:ascii="Georgia" w:hAnsi="Georgia"/>
          <w:b/>
          <w:bCs/>
          <w:sz w:val="24"/>
          <w:szCs w:val="24"/>
          <w:lang w:val="fo-FO"/>
        </w:rPr>
        <w:lastRenderedPageBreak/>
        <w:t>Onnur viðkomandi viðurskifti</w:t>
      </w:r>
      <w:r>
        <w:rPr>
          <w:rFonts w:ascii="Georgia" w:hAnsi="Georgia"/>
          <w:b/>
          <w:bCs/>
          <w:sz w:val="24"/>
          <w:szCs w:val="24"/>
          <w:lang w:val="fo-FO"/>
        </w:rPr>
        <w:t>:</w:t>
      </w:r>
    </w:p>
    <w:p w:rsidR="00391ED6" w:rsidRDefault="00391ED6" w:rsidP="00391ED6">
      <w:pPr>
        <w:jc w:val="both"/>
        <w:rPr>
          <w:rFonts w:ascii="Georgia" w:hAnsi="Georgia"/>
          <w:sz w:val="24"/>
          <w:szCs w:val="24"/>
          <w:lang w:val="fo-FO"/>
        </w:rPr>
      </w:pPr>
      <w:r>
        <w:rPr>
          <w:rFonts w:ascii="Georgia" w:hAnsi="Georgia"/>
          <w:sz w:val="24"/>
          <w:szCs w:val="24"/>
          <w:lang w:val="fo-FO"/>
        </w:rPr>
        <w:t>Reglarnar í lógini kunnu vera av týdningi fyri teg at vita, so tú veitst, hvat starvsfólkini hava loyvi at gera. Sambært lógini er galdandi, at:</w:t>
      </w:r>
    </w:p>
    <w:p w:rsidR="00391ED6" w:rsidRDefault="00391ED6" w:rsidP="00391ED6">
      <w:pPr>
        <w:pStyle w:val="Listeafsnit"/>
        <w:numPr>
          <w:ilvl w:val="0"/>
          <w:numId w:val="2"/>
        </w:numPr>
        <w:jc w:val="both"/>
        <w:rPr>
          <w:rFonts w:ascii="Georgia" w:hAnsi="Georgia"/>
          <w:sz w:val="24"/>
          <w:szCs w:val="24"/>
          <w:lang w:val="fo-FO"/>
        </w:rPr>
      </w:pPr>
      <w:r>
        <w:rPr>
          <w:rFonts w:ascii="Georgia" w:hAnsi="Georgia"/>
          <w:sz w:val="24"/>
          <w:szCs w:val="24"/>
          <w:lang w:val="fo-FO"/>
        </w:rPr>
        <w:t>Starvsfólk kunna bert brúka tvingsil, tá ið tey hava gjørt, tað sum gjørligt er, fyri at fáa sjúklingin at viðvirka sjálvboðin. Sjúklingurin skal hava eina hóskandi tíð at umhugsa seg, tá ið viðurskiftini  loyva tí.</w:t>
      </w:r>
    </w:p>
    <w:p w:rsidR="00391ED6" w:rsidRDefault="00391ED6" w:rsidP="00391ED6">
      <w:pPr>
        <w:pStyle w:val="Listeafsnit"/>
        <w:numPr>
          <w:ilvl w:val="0"/>
          <w:numId w:val="2"/>
        </w:numPr>
        <w:jc w:val="both"/>
        <w:rPr>
          <w:rFonts w:ascii="Georgia" w:hAnsi="Georgia"/>
          <w:sz w:val="24"/>
          <w:szCs w:val="24"/>
          <w:lang w:val="fo-FO"/>
        </w:rPr>
      </w:pPr>
      <w:r>
        <w:rPr>
          <w:rFonts w:ascii="Georgia" w:hAnsi="Georgia"/>
          <w:sz w:val="24"/>
          <w:szCs w:val="24"/>
          <w:lang w:val="fo-FO"/>
        </w:rPr>
        <w:t>Tvingsilsinnlegging, tvingsilsafturhald og tvingsilsviðgerð má bert fara fram, um so er, at tvær treytir eru loknar. Sjúklingurin skal vera sinnisjúkur ella í eini støðu, sum javnmetist við hetta. Og tað skal vera óforsvarligt at lata vera við at innleggja/afturhalda/viðgera sjúklingin. Hetta er tá, sjúklingurin er í munandi vanda fyri seg sjálvan og øðrum, og tá ið útlitini fyri at verða lektur ella at fáa ein munagóðan linna, annars høvdu verið munandi verri.</w:t>
      </w:r>
    </w:p>
    <w:p w:rsidR="00391ED6" w:rsidRDefault="00391ED6" w:rsidP="00391ED6">
      <w:pPr>
        <w:pStyle w:val="Listeafsnit"/>
        <w:numPr>
          <w:ilvl w:val="0"/>
          <w:numId w:val="2"/>
        </w:numPr>
        <w:jc w:val="both"/>
        <w:rPr>
          <w:rFonts w:ascii="Georgia" w:hAnsi="Georgia"/>
          <w:sz w:val="24"/>
          <w:szCs w:val="24"/>
          <w:lang w:val="fo-FO"/>
        </w:rPr>
      </w:pPr>
      <w:r>
        <w:rPr>
          <w:rFonts w:ascii="Georgia" w:hAnsi="Georgia"/>
          <w:sz w:val="24"/>
          <w:szCs w:val="24"/>
          <w:lang w:val="fo-FO"/>
        </w:rPr>
        <w:t>Rýmir ein tvingsilsinnlagdur ella tvingsilsafturhildin sjúklingur av psykiatrisku deildini, kann yvirlæknin avgera, at løgreglan kemur til hjálpar at fáa persónin aftur á deildina.</w:t>
      </w:r>
    </w:p>
    <w:p w:rsidR="00391ED6" w:rsidRDefault="00391ED6" w:rsidP="00391ED6">
      <w:pPr>
        <w:pStyle w:val="Listeafsnit"/>
        <w:numPr>
          <w:ilvl w:val="0"/>
          <w:numId w:val="2"/>
        </w:numPr>
        <w:jc w:val="both"/>
        <w:rPr>
          <w:rFonts w:ascii="Georgia" w:hAnsi="Georgia"/>
          <w:sz w:val="24"/>
          <w:szCs w:val="24"/>
          <w:lang w:val="fo-FO"/>
        </w:rPr>
      </w:pPr>
      <w:r>
        <w:rPr>
          <w:rFonts w:ascii="Georgia" w:hAnsi="Georgia"/>
          <w:sz w:val="24"/>
          <w:szCs w:val="24"/>
          <w:lang w:val="fo-FO"/>
        </w:rPr>
        <w:t>Starvsfólk kunnu bert spenna sjúklingin fastan (brúka tvingsilsfastspenning), um so er, at sjúklingurin setur seg sjálvan og onnur í vanda, jagstrar ella á annan hátt ger seg inn á aðrar sjúklingar ella ger herverk í ikki týdningarleysum muni.</w:t>
      </w:r>
    </w:p>
    <w:p w:rsidR="00391ED6" w:rsidRDefault="00391ED6" w:rsidP="00391ED6">
      <w:pPr>
        <w:pStyle w:val="Listeafsnit"/>
        <w:numPr>
          <w:ilvl w:val="0"/>
          <w:numId w:val="2"/>
        </w:numPr>
        <w:jc w:val="both"/>
        <w:rPr>
          <w:rFonts w:ascii="Georgia" w:hAnsi="Georgia"/>
          <w:sz w:val="24"/>
          <w:szCs w:val="24"/>
          <w:lang w:val="fo-FO"/>
        </w:rPr>
      </w:pPr>
      <w:r>
        <w:rPr>
          <w:rFonts w:ascii="Georgia" w:hAnsi="Georgia"/>
          <w:sz w:val="24"/>
          <w:szCs w:val="24"/>
          <w:lang w:val="fo-FO"/>
        </w:rPr>
        <w:t>Starvsfólk kunnu bert spenna sjúklingin fastan við belti, hond- og fótreimum og handskum.</w:t>
      </w:r>
    </w:p>
    <w:p w:rsidR="00391ED6" w:rsidRDefault="00391ED6" w:rsidP="00391ED6">
      <w:pPr>
        <w:pStyle w:val="Listeafsnit"/>
        <w:numPr>
          <w:ilvl w:val="0"/>
          <w:numId w:val="2"/>
        </w:numPr>
        <w:jc w:val="both"/>
        <w:rPr>
          <w:rFonts w:ascii="Georgia" w:hAnsi="Georgia"/>
          <w:sz w:val="24"/>
          <w:szCs w:val="24"/>
          <w:lang w:val="fo-FO"/>
        </w:rPr>
      </w:pPr>
      <w:r>
        <w:rPr>
          <w:rFonts w:ascii="Georgia" w:hAnsi="Georgia"/>
          <w:sz w:val="24"/>
          <w:szCs w:val="24"/>
          <w:lang w:val="fo-FO"/>
        </w:rPr>
        <w:t>Starvsfólk skulu brúka tvingsil so varliga sum gjørligt og við st</w:t>
      </w:r>
      <w:r w:rsidR="00741BA5">
        <w:rPr>
          <w:rFonts w:ascii="Georgia" w:hAnsi="Georgia"/>
          <w:sz w:val="24"/>
          <w:szCs w:val="24"/>
          <w:lang w:val="fo-FO"/>
        </w:rPr>
        <w:t>ø</w:t>
      </w:r>
      <w:r>
        <w:rPr>
          <w:rFonts w:ascii="Georgia" w:hAnsi="Georgia"/>
          <w:sz w:val="24"/>
          <w:szCs w:val="24"/>
          <w:lang w:val="fo-FO"/>
        </w:rPr>
        <w:t>rst møguligum umhugsni, so sjúklingurin ikki verður óneyðuga eyðmýktur.</w:t>
      </w:r>
    </w:p>
    <w:p w:rsidR="00391ED6" w:rsidRDefault="00391ED6" w:rsidP="00391ED6">
      <w:pPr>
        <w:jc w:val="both"/>
        <w:rPr>
          <w:rFonts w:ascii="Georgia" w:hAnsi="Georgia"/>
          <w:sz w:val="24"/>
          <w:szCs w:val="24"/>
          <w:lang w:val="fo-FO"/>
        </w:rPr>
      </w:pPr>
    </w:p>
    <w:p w:rsidR="00391ED6" w:rsidRPr="00A960E2" w:rsidRDefault="00391ED6" w:rsidP="00391ED6">
      <w:pPr>
        <w:jc w:val="both"/>
        <w:rPr>
          <w:rFonts w:ascii="Georgia" w:hAnsi="Georgia"/>
          <w:sz w:val="24"/>
          <w:szCs w:val="24"/>
          <w:lang w:val="fo-FO"/>
        </w:rPr>
      </w:pPr>
      <w:r>
        <w:rPr>
          <w:rFonts w:ascii="Georgia" w:hAnsi="Georgia"/>
          <w:sz w:val="24"/>
          <w:szCs w:val="24"/>
          <w:lang w:val="fo-FO"/>
        </w:rPr>
        <w:t>Føroya Kærustovnur, febr. 2020</w:t>
      </w:r>
    </w:p>
    <w:p w:rsidR="00391ED6" w:rsidRPr="00EE6F58" w:rsidRDefault="00391ED6" w:rsidP="00391ED6">
      <w:pPr>
        <w:jc w:val="both"/>
        <w:rPr>
          <w:rFonts w:ascii="Georgia" w:hAnsi="Georgia"/>
          <w:sz w:val="24"/>
          <w:szCs w:val="24"/>
          <w:lang w:val="fo-FO"/>
        </w:rPr>
      </w:pPr>
      <w:r w:rsidRPr="00EE6F58">
        <w:rPr>
          <w:rFonts w:ascii="Georgia" w:hAnsi="Georgia"/>
          <w:sz w:val="24"/>
          <w:szCs w:val="24"/>
          <w:lang w:val="fo-FO"/>
        </w:rPr>
        <w:t xml:space="preserve">   </w:t>
      </w:r>
    </w:p>
    <w:p w:rsidR="00391ED6" w:rsidRPr="00BB391E" w:rsidRDefault="00391ED6" w:rsidP="00391ED6">
      <w:pPr>
        <w:jc w:val="both"/>
        <w:rPr>
          <w:rFonts w:ascii="Georgia" w:hAnsi="Georgia"/>
          <w:sz w:val="24"/>
          <w:szCs w:val="24"/>
          <w:lang w:val="fo-FO"/>
        </w:rPr>
      </w:pPr>
    </w:p>
    <w:p w:rsidR="00391ED6" w:rsidRPr="006534E0" w:rsidRDefault="00391ED6" w:rsidP="00391ED6">
      <w:pPr>
        <w:jc w:val="both"/>
        <w:rPr>
          <w:rFonts w:ascii="Georgia" w:hAnsi="Georgia"/>
          <w:sz w:val="24"/>
          <w:szCs w:val="24"/>
          <w:lang w:val="fo-FO"/>
        </w:rPr>
      </w:pPr>
    </w:p>
    <w:p w:rsidR="00391ED6" w:rsidRPr="00A8723B" w:rsidRDefault="00391ED6" w:rsidP="00391ED6">
      <w:pPr>
        <w:jc w:val="both"/>
        <w:rPr>
          <w:rFonts w:ascii="Georgia" w:hAnsi="Georgia"/>
          <w:sz w:val="24"/>
          <w:szCs w:val="24"/>
          <w:lang w:val="fo-FO"/>
        </w:rPr>
      </w:pPr>
    </w:p>
    <w:p w:rsidR="00391ED6" w:rsidRPr="00873295" w:rsidRDefault="00391ED6" w:rsidP="00391ED6">
      <w:pPr>
        <w:jc w:val="both"/>
        <w:rPr>
          <w:rFonts w:ascii="Georgia" w:hAnsi="Georgia"/>
          <w:b/>
          <w:bCs/>
          <w:sz w:val="28"/>
          <w:szCs w:val="28"/>
          <w:lang w:val="fo-FO"/>
        </w:rPr>
      </w:pPr>
    </w:p>
    <w:p w:rsidR="00391ED6" w:rsidRDefault="00391ED6"/>
    <w:sectPr w:rsidR="00391E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276C"/>
    <w:multiLevelType w:val="hybridMultilevel"/>
    <w:tmpl w:val="4AAE6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087F53"/>
    <w:multiLevelType w:val="hybridMultilevel"/>
    <w:tmpl w:val="A8FC7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A"/>
    <w:rsid w:val="00391ED6"/>
    <w:rsid w:val="006C4AD8"/>
    <w:rsid w:val="007124FA"/>
    <w:rsid w:val="00741BA5"/>
    <w:rsid w:val="00B177F0"/>
    <w:rsid w:val="00E174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72BC9-17A8-4FCE-A399-6CFA2542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91ED6"/>
    <w:pPr>
      <w:ind w:left="720"/>
      <w:contextualSpacing/>
    </w:pPr>
  </w:style>
  <w:style w:type="paragraph" w:styleId="Ingenafstand">
    <w:name w:val="No Spacing"/>
    <w:uiPriority w:val="1"/>
    <w:qFormat/>
    <w:rsid w:val="00391ED6"/>
    <w:pPr>
      <w:spacing w:after="0" w:line="240" w:lineRule="auto"/>
    </w:pPr>
  </w:style>
  <w:style w:type="character" w:styleId="Hyperlink">
    <w:name w:val="Hyperlink"/>
    <w:basedOn w:val="Standardskrifttypeiafsnit"/>
    <w:uiPriority w:val="99"/>
    <w:unhideWhenUsed/>
    <w:rsid w:val="00391ED6"/>
    <w:rPr>
      <w:color w:val="0563C1" w:themeColor="hyperlink"/>
      <w:u w:val="single"/>
    </w:rPr>
  </w:style>
  <w:style w:type="character" w:styleId="Ulstomtale">
    <w:name w:val="Unresolved Mention"/>
    <w:basedOn w:val="Standardskrifttypeiafsnit"/>
    <w:uiPriority w:val="99"/>
    <w:semiHidden/>
    <w:unhideWhenUsed/>
    <w:rsid w:val="0039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ks@fks.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Hovgaard</dc:creator>
  <cp:keywords/>
  <dc:description/>
  <cp:lastModifiedBy>Anja Hovgaard</cp:lastModifiedBy>
  <cp:revision>4</cp:revision>
  <dcterms:created xsi:type="dcterms:W3CDTF">2020-04-03T13:25:00Z</dcterms:created>
  <dcterms:modified xsi:type="dcterms:W3CDTF">2020-04-03T13:47:00Z</dcterms:modified>
</cp:coreProperties>
</file>